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51BF33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D20A65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8302BF">
        <w:rPr>
          <w:bCs/>
          <w:noProof w:val="0"/>
          <w:sz w:val="24"/>
          <w:szCs w:val="24"/>
        </w:rPr>
        <w:t>1</w:t>
      </w:r>
      <w:r w:rsidR="00726F97">
        <w:rPr>
          <w:bCs/>
          <w:noProof w:val="0"/>
          <w:sz w:val="24"/>
          <w:szCs w:val="24"/>
        </w:rPr>
        <w:t>5551</w:t>
      </w:r>
    </w:p>
    <w:p w14:paraId="11776FA6" w14:textId="7E197542" w:rsidR="00A209D6" w:rsidRPr="00465587" w:rsidRDefault="00D20A6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>, 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Pr="00D20A65">
        <w:rPr>
          <w:rFonts w:eastAsia="SimSun"/>
          <w:noProof w:val="0"/>
          <w:sz w:val="16"/>
          <w:szCs w:val="16"/>
          <w:lang w:eastAsia="zh-CN"/>
        </w:rPr>
        <w:t>revision of R2-1913155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604BE1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77853">
        <w:rPr>
          <w:rFonts w:cs="Arial"/>
          <w:b/>
          <w:bCs/>
          <w:sz w:val="24"/>
          <w:lang w:eastAsia="ja-JP"/>
        </w:rPr>
        <w:t>6.9.3.4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71CE90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26F97">
        <w:rPr>
          <w:rFonts w:ascii="Arial" w:hAnsi="Arial" w:cs="Arial"/>
          <w:b/>
          <w:bCs/>
          <w:sz w:val="24"/>
        </w:rPr>
        <w:t>On T312 in NR and its relationship with T310</w:t>
      </w:r>
    </w:p>
    <w:p w14:paraId="1F147C23" w14:textId="197BCEB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proofErr w:type="spellStart"/>
      <w:r w:rsidR="00C75ECD" w:rsidRPr="00C75ECD">
        <w:rPr>
          <w:rFonts w:ascii="Arial" w:hAnsi="Arial" w:cs="Arial"/>
          <w:b/>
          <w:bCs/>
          <w:sz w:val="24"/>
        </w:rPr>
        <w:t>NR_Mob_enh</w:t>
      </w:r>
      <w:proofErr w:type="spellEnd"/>
      <w:r w:rsidR="00C75ECD" w:rsidRPr="00C75ECD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75ECD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739DCFB" w14:textId="77777777" w:rsidR="00126A79" w:rsidRDefault="00A24FA2" w:rsidP="00A209D6">
      <w:r>
        <w:t>In RAN2#107 it was agreed to support a T312 mechanism (similar to LTE) in NR</w:t>
      </w:r>
      <w:r w:rsidR="00C75ECD">
        <w:t xml:space="preserve"> (see the agreement box below)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6A79" w14:paraId="537B1D8F" w14:textId="77777777" w:rsidTr="0009368C">
        <w:tc>
          <w:tcPr>
            <w:tcW w:w="9631" w:type="dxa"/>
          </w:tcPr>
          <w:p w14:paraId="6BA5809E" w14:textId="77777777" w:rsidR="00126A79" w:rsidRPr="00A24FA2" w:rsidRDefault="00126A79" w:rsidP="0009368C">
            <w:r w:rsidRPr="00A24FA2">
              <w:t>Agreements</w:t>
            </w:r>
          </w:p>
          <w:p w14:paraId="474424C2" w14:textId="77777777" w:rsidR="00126A79" w:rsidRPr="00A24FA2" w:rsidRDefault="00126A79" w:rsidP="0009368C">
            <w:r w:rsidRPr="00A24FA2">
              <w:t>1</w:t>
            </w:r>
            <w:r w:rsidRPr="00A24FA2">
              <w:tab/>
              <w:t xml:space="preserve">Support T312 mechanism (similar to LTE). At least applicable for </w:t>
            </w:r>
            <w:proofErr w:type="spellStart"/>
            <w:r w:rsidRPr="00A24FA2">
              <w:t>PCell</w:t>
            </w:r>
            <w:proofErr w:type="spellEnd"/>
          </w:p>
          <w:p w14:paraId="1C430DF4" w14:textId="77777777" w:rsidR="00126A79" w:rsidRDefault="00126A79" w:rsidP="0009368C">
            <w:r w:rsidRPr="00A24FA2">
              <w:t xml:space="preserve">FFS Whether this is applicable for </w:t>
            </w:r>
            <w:proofErr w:type="spellStart"/>
            <w:r w:rsidRPr="00A24FA2">
              <w:t>PSCell</w:t>
            </w:r>
            <w:proofErr w:type="spellEnd"/>
            <w:r w:rsidRPr="00A24FA2">
              <w:t>.</w:t>
            </w:r>
          </w:p>
        </w:tc>
      </w:tr>
    </w:tbl>
    <w:p w14:paraId="1DBF1EB4" w14:textId="37DD02C8" w:rsidR="00126A79" w:rsidRDefault="00E65057" w:rsidP="00A209D6">
      <w:r>
        <w:br/>
      </w:r>
      <w:r w:rsidR="00126A79">
        <w:t xml:space="preserve">In RAN2#107bis the following was </w:t>
      </w:r>
      <w:r>
        <w:t xml:space="preserve">further </w:t>
      </w:r>
      <w:r w:rsidR="00126A79">
        <w:t>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6A79" w14:paraId="4F5A3755" w14:textId="77777777" w:rsidTr="00126A79">
        <w:tc>
          <w:tcPr>
            <w:tcW w:w="9631" w:type="dxa"/>
          </w:tcPr>
          <w:p w14:paraId="4CBE79A5" w14:textId="77777777" w:rsidR="00E65057" w:rsidRDefault="00E65057" w:rsidP="00E65057">
            <w:r>
              <w:t>Agreements</w:t>
            </w:r>
          </w:p>
          <w:p w14:paraId="424D9CC9" w14:textId="77777777" w:rsidR="00E65057" w:rsidRDefault="00E65057" w:rsidP="00E65057">
            <w:r>
              <w:t>1</w:t>
            </w:r>
            <w:r>
              <w:tab/>
              <w:t>Reuse the LTE baseline for T312 functionality. Can discuss specific optimizations based on company contributions.</w:t>
            </w:r>
          </w:p>
          <w:p w14:paraId="3684AFCD" w14:textId="77777777" w:rsidR="00E65057" w:rsidRDefault="00E65057" w:rsidP="00E65057">
            <w:r>
              <w:t>Working assumption</w:t>
            </w:r>
          </w:p>
          <w:p w14:paraId="1C7F011B" w14:textId="1B590AB7" w:rsidR="00126A79" w:rsidRDefault="00E65057" w:rsidP="00E65057">
            <w:r>
              <w:t>2</w:t>
            </w:r>
            <w:r>
              <w:tab/>
              <w:t xml:space="preserve">Introduce T312 based mechanism on </w:t>
            </w:r>
            <w:proofErr w:type="spellStart"/>
            <w:r>
              <w:t>PSCell</w:t>
            </w:r>
            <w:proofErr w:type="spellEnd"/>
            <w:r>
              <w:t xml:space="preserve"> for fast declaration of SCG failure.</w:t>
            </w:r>
          </w:p>
        </w:tc>
      </w:tr>
    </w:tbl>
    <w:p w14:paraId="38BDF212" w14:textId="15033A37" w:rsidR="00A24FA2" w:rsidRPr="006E13D1" w:rsidRDefault="00E65057" w:rsidP="00126A79">
      <w:r>
        <w:br/>
      </w:r>
      <w:r w:rsidR="00A24FA2">
        <w:t>In this contribution we will discuss potential enhancements and extensions for T312, as well as further acceleration</w:t>
      </w:r>
      <w:r w:rsidR="00C75ECD">
        <w:t xml:space="preserve"> of</w:t>
      </w:r>
      <w:r w:rsidR="00A24FA2">
        <w:t xml:space="preserve"> RLF recovery.</w:t>
      </w:r>
      <w:r w:rsidR="00126A79" w:rsidRPr="006E13D1">
        <w:t xml:space="preserve"> </w:t>
      </w:r>
    </w:p>
    <w:p w14:paraId="766D6D29" w14:textId="31C013F1" w:rsidR="00A209D6" w:rsidRDefault="00E65057" w:rsidP="00A209D6">
      <w:pPr>
        <w:pStyle w:val="Heading1"/>
      </w:pPr>
      <w:r>
        <w:t>2</w:t>
      </w:r>
      <w:r w:rsidR="00A209D6" w:rsidRPr="006E13D1">
        <w:tab/>
      </w:r>
      <w:r w:rsidR="00C334DB">
        <w:t>T312</w:t>
      </w:r>
      <w:r>
        <w:t xml:space="preserve"> </w:t>
      </w:r>
      <w:r w:rsidR="00C334DB">
        <w:t>in NR</w:t>
      </w:r>
    </w:p>
    <w:p w14:paraId="71ED5291" w14:textId="7ADD8185" w:rsidR="00C334DB" w:rsidRDefault="00C334DB" w:rsidP="00C334DB">
      <w:r>
        <w:t xml:space="preserve">It was mentioned by several companies, that the T312 benefits (shorter interruption through earlier RLF declaration) are not leveraged when the radio problem is detected (and T310 is started) </w:t>
      </w:r>
      <w:r w:rsidRPr="002E3BBC">
        <w:rPr>
          <w:i/>
        </w:rPr>
        <w:t>shortly after</w:t>
      </w:r>
      <w:r>
        <w:t xml:space="preserve"> a measurement report was sent.</w:t>
      </w:r>
      <w:r w:rsidR="00D06E13">
        <w:t xml:space="preserve"> RAN2#107bis agreements allow further discussion on specific optimizations, on top of T312 LTE’s baseline.</w:t>
      </w:r>
    </w:p>
    <w:p w14:paraId="01CBA9BB" w14:textId="29872F24" w:rsidR="00C334DB" w:rsidRDefault="00C334DB" w:rsidP="00C334DB">
      <w:r>
        <w:t>Removing the independence of T310 entirely was not considered to be a viable option since this would take away too much network control; without radio</w:t>
      </w:r>
      <w:r w:rsidR="002E3BBC">
        <w:t xml:space="preserve"> problem, the UE should not declare RLF (the network may decide not to send a handover command). We see two options </w:t>
      </w:r>
      <w:r w:rsidR="0090228C">
        <w:t xml:space="preserve">to obtain </w:t>
      </w:r>
      <w:r w:rsidR="002E3BBC">
        <w:t xml:space="preserve">the T312 benefits when T310 is only started </w:t>
      </w:r>
      <w:r w:rsidR="002E3BBC" w:rsidRPr="00283894">
        <w:rPr>
          <w:i/>
        </w:rPr>
        <w:t>shortly after</w:t>
      </w:r>
      <w:r w:rsidR="002E3BBC">
        <w:t xml:space="preserve"> measurement report:</w:t>
      </w:r>
    </w:p>
    <w:p w14:paraId="3E34C008" w14:textId="0B81CC3B" w:rsidR="002E3BBC" w:rsidRDefault="002E3BBC" w:rsidP="002E3BBC">
      <w:pPr>
        <w:pStyle w:val="ListParagraph"/>
        <w:numPr>
          <w:ilvl w:val="0"/>
          <w:numId w:val="8"/>
        </w:numPr>
      </w:pPr>
      <w:r>
        <w:t>Option 1: Initially, “</w:t>
      </w:r>
      <w:r w:rsidRPr="00283894">
        <w:rPr>
          <w:i/>
        </w:rPr>
        <w:t>shortly after</w:t>
      </w:r>
      <w:r>
        <w:t xml:space="preserve">” has to be quantified, i.e. a new timer T3xx has to be introduced: </w:t>
      </w:r>
    </w:p>
    <w:p w14:paraId="0BD350F9" w14:textId="008E6A5A" w:rsidR="002E3BBC" w:rsidRDefault="002E3BBC" w:rsidP="002E3BBC">
      <w:pPr>
        <w:pStyle w:val="ListParagraph"/>
        <w:numPr>
          <w:ilvl w:val="1"/>
          <w:numId w:val="8"/>
        </w:numPr>
      </w:pPr>
      <w:r>
        <w:t xml:space="preserve">T3xx would be started when a measurement report is triggered </w:t>
      </w:r>
      <w:r w:rsidR="00895A29">
        <w:t xml:space="preserve">and T310 is NOT running </w:t>
      </w:r>
      <w:r w:rsidR="00283894">
        <w:br/>
      </w:r>
      <w:r w:rsidR="00895A29">
        <w:t>(instead of T312)</w:t>
      </w:r>
    </w:p>
    <w:p w14:paraId="53C8A08C" w14:textId="7292C101" w:rsidR="002E3BBC" w:rsidRDefault="002E3BBC" w:rsidP="002E3BBC">
      <w:pPr>
        <w:pStyle w:val="ListParagraph"/>
        <w:numPr>
          <w:ilvl w:val="1"/>
          <w:numId w:val="8"/>
        </w:numPr>
      </w:pPr>
      <w:r>
        <w:t xml:space="preserve">If a radio problem is detected (i.e. T310 is started) while T3xx is running, T312 is started </w:t>
      </w:r>
      <w:r w:rsidR="00283894">
        <w:br/>
      </w:r>
      <w:r>
        <w:t>(along with T310)</w:t>
      </w:r>
      <w:r w:rsidR="00895A29">
        <w:t>, and T3xx is stopped.</w:t>
      </w:r>
    </w:p>
    <w:p w14:paraId="414A004D" w14:textId="7FC0C1B5" w:rsidR="002E3BBC" w:rsidRDefault="002E3BBC" w:rsidP="002E3BBC">
      <w:pPr>
        <w:pStyle w:val="ListParagraph"/>
        <w:numPr>
          <w:ilvl w:val="1"/>
          <w:numId w:val="8"/>
        </w:numPr>
      </w:pPr>
      <w:r>
        <w:t>If T3xx expires (i.e. no radio problem during T3xx), no action is taken.</w:t>
      </w:r>
    </w:p>
    <w:p w14:paraId="20D42C66" w14:textId="524D7500" w:rsidR="00895A29" w:rsidRDefault="00895A29" w:rsidP="002E3BBC">
      <w:pPr>
        <w:pStyle w:val="ListParagraph"/>
        <w:numPr>
          <w:ilvl w:val="1"/>
          <w:numId w:val="8"/>
        </w:numPr>
      </w:pPr>
      <w:r>
        <w:t>T3xx is stopped when Handover Command is received</w:t>
      </w:r>
    </w:p>
    <w:p w14:paraId="01DAF176" w14:textId="397AE11E" w:rsidR="002E3BBC" w:rsidRDefault="002E3BBC" w:rsidP="002E3BBC">
      <w:pPr>
        <w:pStyle w:val="ListParagraph"/>
        <w:numPr>
          <w:ilvl w:val="1"/>
          <w:numId w:val="8"/>
        </w:numPr>
      </w:pPr>
      <w:r>
        <w:t xml:space="preserve">The T312 </w:t>
      </w:r>
      <w:proofErr w:type="spellStart"/>
      <w:r>
        <w:t>behavior</w:t>
      </w:r>
      <w:proofErr w:type="spellEnd"/>
      <w:r>
        <w:t xml:space="preserve"> is left unchanged (other than its start)</w:t>
      </w:r>
    </w:p>
    <w:p w14:paraId="3A1B11B1" w14:textId="1280AB98" w:rsidR="002E3BBC" w:rsidRDefault="002E3BBC" w:rsidP="002E3BBC">
      <w:pPr>
        <w:pStyle w:val="ListParagraph"/>
        <w:numPr>
          <w:ilvl w:val="0"/>
          <w:numId w:val="8"/>
        </w:numPr>
      </w:pPr>
      <w:r>
        <w:t xml:space="preserve">Option 2: We can also </w:t>
      </w:r>
      <w:r w:rsidR="00C04309">
        <w:t>avoid</w:t>
      </w:r>
      <w:r>
        <w:t xml:space="preserve"> the introduction of a new timer:</w:t>
      </w:r>
    </w:p>
    <w:p w14:paraId="34D2B17D" w14:textId="38B99A78" w:rsidR="002E3BBC" w:rsidRDefault="002E3BBC" w:rsidP="002E3BBC">
      <w:pPr>
        <w:pStyle w:val="ListParagraph"/>
        <w:numPr>
          <w:ilvl w:val="1"/>
          <w:numId w:val="8"/>
        </w:numPr>
      </w:pPr>
      <w:r>
        <w:lastRenderedPageBreak/>
        <w:t>T312 would be started when a</w:t>
      </w:r>
      <w:r w:rsidR="00C04309">
        <w:t>ny</w:t>
      </w:r>
      <w:r>
        <w:t xml:space="preserve"> measurement report is triggered</w:t>
      </w:r>
      <w:r w:rsidR="00C04309">
        <w:t xml:space="preserve"> by the corresponding event</w:t>
      </w:r>
      <w:r>
        <w:t>, initially independent of a radio problem / T310, i.e. even if T310 is not running.</w:t>
      </w:r>
    </w:p>
    <w:p w14:paraId="19E73E0D" w14:textId="2E1CBADE" w:rsidR="002E3BBC" w:rsidRDefault="002E3BBC" w:rsidP="002E3BBC">
      <w:pPr>
        <w:pStyle w:val="ListParagraph"/>
        <w:numPr>
          <w:ilvl w:val="1"/>
          <w:numId w:val="8"/>
        </w:numPr>
      </w:pPr>
      <w:r>
        <w:t>If T312 expires AND T310 has been started in the meantime</w:t>
      </w:r>
      <w:r w:rsidR="00895A29">
        <w:t>, RLF is declared</w:t>
      </w:r>
    </w:p>
    <w:p w14:paraId="1F39973D" w14:textId="210E5B1F" w:rsidR="00895A29" w:rsidRDefault="00895A29" w:rsidP="002E3BBC">
      <w:pPr>
        <w:pStyle w:val="ListParagraph"/>
        <w:numPr>
          <w:ilvl w:val="1"/>
          <w:numId w:val="8"/>
        </w:numPr>
      </w:pPr>
      <w:r>
        <w:t>If T312 expires and T310 has not been started, no action is taken.</w:t>
      </w:r>
    </w:p>
    <w:p w14:paraId="3ECA79CC" w14:textId="6D438FCD" w:rsidR="00895A29" w:rsidRDefault="00895A29" w:rsidP="002E3BBC">
      <w:pPr>
        <w:pStyle w:val="ListParagraph"/>
        <w:numPr>
          <w:ilvl w:val="1"/>
          <w:numId w:val="8"/>
        </w:numPr>
      </w:pPr>
      <w:r>
        <w:t>T312 is stopped as today (</w:t>
      </w:r>
      <w:r w:rsidR="008E7CB0">
        <w:t>handover command is</w:t>
      </w:r>
      <w:r>
        <w:t xml:space="preserve"> received or N311 in-syncs are received)</w:t>
      </w:r>
    </w:p>
    <w:p w14:paraId="65D9AC13" w14:textId="364F1CF4" w:rsidR="00895A29" w:rsidRDefault="00895A29" w:rsidP="00895A29">
      <w:r>
        <w:t>For option 2, RLF would be declared a bit earlier than for option 1 which looks intuitive, since a running T310 indicates high likelihood for lost RRC signalling. Furthermore, option 2 does not require a new timer which makes the solution simpler.</w:t>
      </w:r>
    </w:p>
    <w:p w14:paraId="14168806" w14:textId="51E00A37" w:rsidR="00895A29" w:rsidRDefault="00895A29" w:rsidP="00895A29">
      <w:pPr>
        <w:rPr>
          <w:b/>
        </w:rPr>
      </w:pPr>
      <w:r w:rsidRPr="00895A29">
        <w:rPr>
          <w:b/>
        </w:rPr>
        <w:t xml:space="preserve">Proposal </w:t>
      </w:r>
      <w:r w:rsidR="0010107E">
        <w:rPr>
          <w:b/>
        </w:rPr>
        <w:t>1</w:t>
      </w:r>
      <w:r w:rsidRPr="00895A29">
        <w:rPr>
          <w:b/>
        </w:rPr>
        <w:t>: T312 shall be started independent of T310, but expiry of T312 shall only declare RLF i</w:t>
      </w:r>
      <w:r w:rsidR="0010107E">
        <w:rPr>
          <w:b/>
        </w:rPr>
        <w:t>f</w:t>
      </w:r>
      <w:r w:rsidRPr="00895A29">
        <w:rPr>
          <w:b/>
        </w:rPr>
        <w:t xml:space="preserve"> T310 is running at this point in time.</w:t>
      </w:r>
    </w:p>
    <w:p w14:paraId="719AFC5B" w14:textId="4BAA70E5" w:rsidR="00FB2D76" w:rsidRDefault="00E65057" w:rsidP="00FB2D76">
      <w:pPr>
        <w:pStyle w:val="Heading1"/>
      </w:pPr>
      <w:r>
        <w:t>3</w:t>
      </w:r>
      <w:r w:rsidR="00FB2D76" w:rsidRPr="006E13D1">
        <w:tab/>
      </w:r>
      <w:r w:rsidR="00FB2D76">
        <w:t xml:space="preserve">T312 for </w:t>
      </w:r>
      <w:proofErr w:type="spellStart"/>
      <w:r w:rsidR="00FB2D76">
        <w:t>PSCell</w:t>
      </w:r>
      <w:proofErr w:type="spellEnd"/>
    </w:p>
    <w:p w14:paraId="61D02C1D" w14:textId="586D1B74" w:rsidR="00FB2D76" w:rsidRDefault="00FB2D76" w:rsidP="00FB2D76">
      <w:r>
        <w:t xml:space="preserve">This aspect raised in RAN2#107 addresses </w:t>
      </w:r>
      <w:proofErr w:type="spellStart"/>
      <w:r>
        <w:t>PSCell</w:t>
      </w:r>
      <w:proofErr w:type="spellEnd"/>
      <w:r>
        <w:t xml:space="preserve"> change. On one hand, the RRC signalling (measurement report and RRC reconfigurations) would be handled by MN which typically does not suffer radio risk due to </w:t>
      </w:r>
      <w:proofErr w:type="spellStart"/>
      <w:r>
        <w:t>PSCell</w:t>
      </w:r>
      <w:proofErr w:type="spellEnd"/>
      <w:r>
        <w:t xml:space="preserve"> change. In these cases, T312 would be always stopped, so the benefit is questionable. </w:t>
      </w:r>
    </w:p>
    <w:p w14:paraId="01C015C9" w14:textId="0B24CD06" w:rsidR="00FB2D76" w:rsidRDefault="00FB2D76" w:rsidP="00FB2D76">
      <w:r>
        <w:t xml:space="preserve">In </w:t>
      </w:r>
      <w:r w:rsidR="0099250F">
        <w:t xml:space="preserve">other </w:t>
      </w:r>
      <w:r>
        <w:t>cases, the RRC signalling is handled directly with the SN (via SRB3, SN</w:t>
      </w:r>
      <w:r w:rsidR="00D1105B">
        <w:t>-</w:t>
      </w:r>
      <w:r>
        <w:t xml:space="preserve">initiated and intra-SN </w:t>
      </w:r>
      <w:proofErr w:type="spellStart"/>
      <w:r>
        <w:t>PSCell</w:t>
      </w:r>
      <w:proofErr w:type="spellEnd"/>
      <w:r>
        <w:t xml:space="preserve"> change)</w:t>
      </w:r>
      <w:r w:rsidR="00524D7C">
        <w:t>.</w:t>
      </w:r>
      <w:r w:rsidR="000E3038">
        <w:t xml:space="preserve"> In these cases, there are the same radio risks for the RRC signalling as for a single-connected handover, and thereby, T312 may help.</w:t>
      </w:r>
    </w:p>
    <w:p w14:paraId="1E11F869" w14:textId="2DAD86F0" w:rsidR="000E3038" w:rsidRDefault="000E3038" w:rsidP="00FB2D76">
      <w:r>
        <w:t xml:space="preserve">We would like to emphasize again, that T312 is configured for measurement events. So just as in the </w:t>
      </w:r>
      <w:r w:rsidR="00D1105B">
        <w:t>preceding</w:t>
      </w:r>
      <w:r>
        <w:t xml:space="preserve"> section, it does not require a lot of effort to allow T312 for </w:t>
      </w:r>
      <w:proofErr w:type="spellStart"/>
      <w:r>
        <w:t>PSCell</w:t>
      </w:r>
      <w:proofErr w:type="spellEnd"/>
      <w:r>
        <w:t xml:space="preserve"> changes. It only needs to be clarified that the RRC reconfiguration for the </w:t>
      </w:r>
      <w:proofErr w:type="spellStart"/>
      <w:r>
        <w:t>PSCell</w:t>
      </w:r>
      <w:proofErr w:type="spellEnd"/>
      <w:r>
        <w:t xml:space="preserve"> change would stop T312.</w:t>
      </w:r>
    </w:p>
    <w:p w14:paraId="751E7522" w14:textId="792829DE" w:rsidR="0099250F" w:rsidRDefault="0099250F" w:rsidP="00FB2D76">
      <w:r>
        <w:t>Although T312 advantages will only be significant when SRB3 is used, we do not see any benefits for restricting the usage to SRB3 and exclude SRB1.</w:t>
      </w:r>
    </w:p>
    <w:p w14:paraId="577CC5B0" w14:textId="1A93E21B" w:rsidR="00E94A27" w:rsidRDefault="000E3038" w:rsidP="00E65057">
      <w:pPr>
        <w:rPr>
          <w:b/>
        </w:rPr>
      </w:pPr>
      <w:r w:rsidRPr="00895A29">
        <w:rPr>
          <w:b/>
        </w:rPr>
        <w:t xml:space="preserve">Proposal </w:t>
      </w:r>
      <w:r w:rsidR="00FB21D6">
        <w:rPr>
          <w:b/>
        </w:rPr>
        <w:t>2</w:t>
      </w:r>
      <w:r w:rsidRPr="00895A29">
        <w:rPr>
          <w:b/>
        </w:rPr>
        <w:t>: T312</w:t>
      </w:r>
      <w:r>
        <w:rPr>
          <w:b/>
        </w:rPr>
        <w:t xml:space="preserve"> </w:t>
      </w:r>
      <w:r w:rsidR="00D1105B">
        <w:rPr>
          <w:b/>
        </w:rPr>
        <w:t>can be</w:t>
      </w:r>
      <w:r>
        <w:rPr>
          <w:b/>
        </w:rPr>
        <w:t xml:space="preserve"> also applicable to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</w:t>
      </w:r>
      <w:r w:rsidR="0017456E">
        <w:rPr>
          <w:b/>
        </w:rPr>
        <w:t>e, irrespective of whether SRB3 is used</w:t>
      </w:r>
      <w:r>
        <w:rPr>
          <w:b/>
        </w:rPr>
        <w:t xml:space="preserve">. RAN2 needs to clarify that the RRC reconfiguration for the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stops T312.</w:t>
      </w:r>
    </w:p>
    <w:p w14:paraId="451216F9" w14:textId="23A32700" w:rsidR="00FB21D6" w:rsidRPr="005E35EC" w:rsidRDefault="005E35EC" w:rsidP="00E65057">
      <w:r w:rsidRPr="005E35EC">
        <w:t xml:space="preserve">The corresponding </w:t>
      </w:r>
      <w:r w:rsidR="00726F97">
        <w:t xml:space="preserve">draft </w:t>
      </w:r>
      <w:r w:rsidRPr="005E35EC">
        <w:t xml:space="preserve">CR to NR RRC can be found in </w:t>
      </w:r>
      <w:r w:rsidRPr="005E35EC">
        <w:fldChar w:fldCharType="begin"/>
      </w:r>
      <w:r w:rsidRPr="005E35EC">
        <w:instrText xml:space="preserve"> REF _Ref23249018 \r \h </w:instrText>
      </w:r>
      <w:r>
        <w:instrText xml:space="preserve"> \* MERGEFORMAT </w:instrText>
      </w:r>
      <w:r w:rsidRPr="005E35EC">
        <w:fldChar w:fldCharType="separate"/>
      </w:r>
      <w:r w:rsidRPr="005E35EC">
        <w:t>[1]</w:t>
      </w:r>
      <w:r w:rsidRPr="005E35EC">
        <w:fldChar w:fldCharType="end"/>
      </w:r>
      <w:r w:rsidRPr="005E35EC">
        <w:t>.</w:t>
      </w:r>
    </w:p>
    <w:p w14:paraId="5FF2457F" w14:textId="261D8C77" w:rsidR="00A209D6" w:rsidRPr="006E13D1" w:rsidRDefault="00E65057" w:rsidP="00A209D6">
      <w:pPr>
        <w:pStyle w:val="Heading1"/>
      </w:pPr>
      <w:r>
        <w:t>4</w:t>
      </w:r>
      <w:r w:rsidR="00A209D6" w:rsidRPr="006E13D1">
        <w:tab/>
      </w:r>
      <w:r w:rsidR="008C3057">
        <w:t>Conclusion</w:t>
      </w:r>
    </w:p>
    <w:p w14:paraId="6C60FFDC" w14:textId="1E84D4F9" w:rsidR="00A209D6" w:rsidRPr="006E13D1" w:rsidRDefault="00F2097E" w:rsidP="00A209D6">
      <w:r>
        <w:t xml:space="preserve">This paper discussed T312 related aspects. The following proposals have been made: </w:t>
      </w:r>
    </w:p>
    <w:p w14:paraId="65D13391" w14:textId="77777777" w:rsidR="008302BF" w:rsidRDefault="008302BF" w:rsidP="008302BF">
      <w:pPr>
        <w:rPr>
          <w:b/>
        </w:rPr>
      </w:pPr>
      <w:r w:rsidRPr="00895A29">
        <w:rPr>
          <w:b/>
        </w:rPr>
        <w:t xml:space="preserve">Proposal </w:t>
      </w:r>
      <w:r>
        <w:rPr>
          <w:b/>
        </w:rPr>
        <w:t>1</w:t>
      </w:r>
      <w:r w:rsidRPr="00895A29">
        <w:rPr>
          <w:b/>
        </w:rPr>
        <w:t>: T312 shall be started independent of T310, but expiry of T312 shall only declare RLF i</w:t>
      </w:r>
      <w:r>
        <w:rPr>
          <w:b/>
        </w:rPr>
        <w:t>f</w:t>
      </w:r>
      <w:r w:rsidRPr="00895A29">
        <w:rPr>
          <w:b/>
        </w:rPr>
        <w:t xml:space="preserve"> T310 is running at this point in time.</w:t>
      </w:r>
    </w:p>
    <w:p w14:paraId="60449C3F" w14:textId="07ECCE7B" w:rsidR="00A209D6" w:rsidRPr="00EA02E9" w:rsidRDefault="008302BF" w:rsidP="00A209D6">
      <w:pPr>
        <w:rPr>
          <w:b/>
        </w:rPr>
      </w:pPr>
      <w:r w:rsidRPr="00895A29">
        <w:rPr>
          <w:b/>
        </w:rPr>
        <w:t xml:space="preserve">Proposal </w:t>
      </w:r>
      <w:r w:rsidR="00FB21D6">
        <w:rPr>
          <w:b/>
        </w:rPr>
        <w:t>2</w:t>
      </w:r>
      <w:r w:rsidRPr="00895A29">
        <w:rPr>
          <w:b/>
        </w:rPr>
        <w:t>: T312</w:t>
      </w:r>
      <w:r>
        <w:rPr>
          <w:b/>
        </w:rPr>
        <w:t xml:space="preserve"> can be also applicable to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</w:t>
      </w:r>
      <w:r w:rsidR="00D06E13">
        <w:rPr>
          <w:b/>
        </w:rPr>
        <w:t>, irrespective of whether SRB3 is used</w:t>
      </w:r>
      <w:r>
        <w:rPr>
          <w:b/>
        </w:rPr>
        <w:t xml:space="preserve">. RAN2 needs to clarify that the RRC reconfiguration for the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stops T312.</w:t>
      </w:r>
    </w:p>
    <w:p w14:paraId="432B0A82" w14:textId="5D524E9B" w:rsidR="00A209D6" w:rsidRDefault="00E65057" w:rsidP="00E65057">
      <w:pPr>
        <w:pStyle w:val="Heading1"/>
      </w:pPr>
      <w:r>
        <w:t>References</w:t>
      </w:r>
    </w:p>
    <w:p w14:paraId="399E808D" w14:textId="47969315" w:rsidR="00E65057" w:rsidRPr="00E65057" w:rsidRDefault="00726F97" w:rsidP="00726F97">
      <w:pPr>
        <w:pStyle w:val="ListParagraph"/>
        <w:numPr>
          <w:ilvl w:val="0"/>
          <w:numId w:val="9"/>
        </w:numPr>
      </w:pPr>
      <w:bookmarkStart w:id="1" w:name="_Ref23249018"/>
      <w:r>
        <w:t>R2-1915500</w:t>
      </w:r>
      <w:r>
        <w:t xml:space="preserve"> </w:t>
      </w:r>
      <w:proofErr w:type="spellStart"/>
      <w:r w:rsidRPr="00726F97">
        <w:rPr>
          <w:i/>
        </w:rPr>
        <w:t>DraftCR</w:t>
      </w:r>
      <w:proofErr w:type="spellEnd"/>
      <w:r w:rsidRPr="00726F97">
        <w:rPr>
          <w:i/>
        </w:rPr>
        <w:t xml:space="preserve"> for early RLF and fast handover failure recovery for </w:t>
      </w:r>
      <w:proofErr w:type="spellStart"/>
      <w:r w:rsidRPr="00726F97">
        <w:rPr>
          <w:i/>
        </w:rPr>
        <w:t>PSCell</w:t>
      </w:r>
      <w:proofErr w:type="spellEnd"/>
      <w:r>
        <w:t xml:space="preserve"> </w:t>
      </w:r>
      <w:bookmarkEnd w:id="1"/>
      <w:r w:rsidR="002A6C17">
        <w:t>3GPP TSG-RAN WG2 Meeting #108, Reno, USA 18 – 22 November 2019</w:t>
      </w:r>
    </w:p>
    <w:p w14:paraId="653EED19" w14:textId="59D71C5D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2539F" w14:textId="77777777" w:rsidR="005C2FF7" w:rsidRDefault="005C2FF7">
      <w:r>
        <w:separator/>
      </w:r>
    </w:p>
  </w:endnote>
  <w:endnote w:type="continuationSeparator" w:id="0">
    <w:p w14:paraId="2E8DB4CC" w14:textId="77777777" w:rsidR="005C2FF7" w:rsidRDefault="005C2FF7">
      <w:r>
        <w:continuationSeparator/>
      </w:r>
    </w:p>
  </w:endnote>
  <w:endnote w:type="continuationNotice" w:id="1">
    <w:p w14:paraId="613C2340" w14:textId="77777777" w:rsidR="005C2FF7" w:rsidRDefault="005C2F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521E2" w14:textId="77777777" w:rsidR="005C2FF7" w:rsidRDefault="005C2FF7">
      <w:r>
        <w:separator/>
      </w:r>
    </w:p>
  </w:footnote>
  <w:footnote w:type="continuationSeparator" w:id="0">
    <w:p w14:paraId="39D0DB0A" w14:textId="77777777" w:rsidR="005C2FF7" w:rsidRDefault="005C2FF7">
      <w:r>
        <w:continuationSeparator/>
      </w:r>
    </w:p>
  </w:footnote>
  <w:footnote w:type="continuationNotice" w:id="1">
    <w:p w14:paraId="0BA3A23A" w14:textId="77777777" w:rsidR="005C2FF7" w:rsidRDefault="005C2F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A72696"/>
    <w:multiLevelType w:val="hybridMultilevel"/>
    <w:tmpl w:val="29841B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C1D4C"/>
    <w:multiLevelType w:val="hybridMultilevel"/>
    <w:tmpl w:val="FAA42102"/>
    <w:lvl w:ilvl="0" w:tplc="CB5E58AA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E92"/>
    <w:rsid w:val="00014CB4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0E3038"/>
    <w:rsid w:val="0010107E"/>
    <w:rsid w:val="00112F1A"/>
    <w:rsid w:val="00126A79"/>
    <w:rsid w:val="00145075"/>
    <w:rsid w:val="001741A0"/>
    <w:rsid w:val="0017456E"/>
    <w:rsid w:val="00175FA0"/>
    <w:rsid w:val="00176D2E"/>
    <w:rsid w:val="00194CD0"/>
    <w:rsid w:val="001B49C9"/>
    <w:rsid w:val="001C23F4"/>
    <w:rsid w:val="001C4F79"/>
    <w:rsid w:val="001F168B"/>
    <w:rsid w:val="001F7831"/>
    <w:rsid w:val="00202E8D"/>
    <w:rsid w:val="00204045"/>
    <w:rsid w:val="0020712B"/>
    <w:rsid w:val="0022606D"/>
    <w:rsid w:val="00231728"/>
    <w:rsid w:val="00250404"/>
    <w:rsid w:val="00251125"/>
    <w:rsid w:val="002610D8"/>
    <w:rsid w:val="002747EC"/>
    <w:rsid w:val="00283894"/>
    <w:rsid w:val="002855BF"/>
    <w:rsid w:val="002A6C17"/>
    <w:rsid w:val="002A770F"/>
    <w:rsid w:val="002E2D8C"/>
    <w:rsid w:val="002E3BBC"/>
    <w:rsid w:val="002F0D22"/>
    <w:rsid w:val="003172DC"/>
    <w:rsid w:val="00325AE3"/>
    <w:rsid w:val="00326069"/>
    <w:rsid w:val="0035462D"/>
    <w:rsid w:val="00357819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139CD"/>
    <w:rsid w:val="00465587"/>
    <w:rsid w:val="00477455"/>
    <w:rsid w:val="004A1F7B"/>
    <w:rsid w:val="004C44D2"/>
    <w:rsid w:val="004D3578"/>
    <w:rsid w:val="004D380D"/>
    <w:rsid w:val="004E213A"/>
    <w:rsid w:val="004F7FF5"/>
    <w:rsid w:val="00503171"/>
    <w:rsid w:val="00506C28"/>
    <w:rsid w:val="00507A5A"/>
    <w:rsid w:val="00524D7C"/>
    <w:rsid w:val="00534DA0"/>
    <w:rsid w:val="00543E6C"/>
    <w:rsid w:val="00565087"/>
    <w:rsid w:val="0056573F"/>
    <w:rsid w:val="005C2FF7"/>
    <w:rsid w:val="005E35EC"/>
    <w:rsid w:val="005F5C73"/>
    <w:rsid w:val="00611566"/>
    <w:rsid w:val="00646D99"/>
    <w:rsid w:val="00656910"/>
    <w:rsid w:val="006574C0"/>
    <w:rsid w:val="006C04EE"/>
    <w:rsid w:val="006C66D8"/>
    <w:rsid w:val="006D1E24"/>
    <w:rsid w:val="006E1417"/>
    <w:rsid w:val="006F6A2C"/>
    <w:rsid w:val="007069DC"/>
    <w:rsid w:val="00710201"/>
    <w:rsid w:val="0072073A"/>
    <w:rsid w:val="00726F97"/>
    <w:rsid w:val="007342B5"/>
    <w:rsid w:val="00734A5B"/>
    <w:rsid w:val="00744E76"/>
    <w:rsid w:val="00755CB7"/>
    <w:rsid w:val="00757D40"/>
    <w:rsid w:val="007662B5"/>
    <w:rsid w:val="00781F0F"/>
    <w:rsid w:val="0078727C"/>
    <w:rsid w:val="0079049D"/>
    <w:rsid w:val="00793DC5"/>
    <w:rsid w:val="007B18D8"/>
    <w:rsid w:val="007B1B12"/>
    <w:rsid w:val="007C095F"/>
    <w:rsid w:val="007C2DD0"/>
    <w:rsid w:val="007F2E08"/>
    <w:rsid w:val="008028A4"/>
    <w:rsid w:val="00813245"/>
    <w:rsid w:val="008302BF"/>
    <w:rsid w:val="00840DE0"/>
    <w:rsid w:val="0086354A"/>
    <w:rsid w:val="008768CA"/>
    <w:rsid w:val="00877EF9"/>
    <w:rsid w:val="00880559"/>
    <w:rsid w:val="00895A29"/>
    <w:rsid w:val="008B5306"/>
    <w:rsid w:val="008C3057"/>
    <w:rsid w:val="008D2E4D"/>
    <w:rsid w:val="008E7CB0"/>
    <w:rsid w:val="008F396F"/>
    <w:rsid w:val="0090228C"/>
    <w:rsid w:val="0090271F"/>
    <w:rsid w:val="00902DB9"/>
    <w:rsid w:val="0090466A"/>
    <w:rsid w:val="00923655"/>
    <w:rsid w:val="00936071"/>
    <w:rsid w:val="00940212"/>
    <w:rsid w:val="00942EC2"/>
    <w:rsid w:val="0094393C"/>
    <w:rsid w:val="00961B32"/>
    <w:rsid w:val="00962509"/>
    <w:rsid w:val="00970DB3"/>
    <w:rsid w:val="00974BB0"/>
    <w:rsid w:val="00975BCD"/>
    <w:rsid w:val="0099250F"/>
    <w:rsid w:val="009A0AF3"/>
    <w:rsid w:val="009B07CD"/>
    <w:rsid w:val="009B7AEB"/>
    <w:rsid w:val="009C19E9"/>
    <w:rsid w:val="009D74A6"/>
    <w:rsid w:val="009F1019"/>
    <w:rsid w:val="00A10F02"/>
    <w:rsid w:val="00A204CA"/>
    <w:rsid w:val="00A209D6"/>
    <w:rsid w:val="00A24FA2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84DB2"/>
    <w:rsid w:val="00BB23D2"/>
    <w:rsid w:val="00BC3555"/>
    <w:rsid w:val="00C04309"/>
    <w:rsid w:val="00C12B51"/>
    <w:rsid w:val="00C24650"/>
    <w:rsid w:val="00C25465"/>
    <w:rsid w:val="00C313A8"/>
    <w:rsid w:val="00C33079"/>
    <w:rsid w:val="00C334DB"/>
    <w:rsid w:val="00C75ECD"/>
    <w:rsid w:val="00C83A13"/>
    <w:rsid w:val="00C9068C"/>
    <w:rsid w:val="00C92967"/>
    <w:rsid w:val="00CA1290"/>
    <w:rsid w:val="00CA3D0C"/>
    <w:rsid w:val="00CA654B"/>
    <w:rsid w:val="00CB72B8"/>
    <w:rsid w:val="00CD4C7B"/>
    <w:rsid w:val="00CE04AB"/>
    <w:rsid w:val="00D06E13"/>
    <w:rsid w:val="00D1105B"/>
    <w:rsid w:val="00D20A65"/>
    <w:rsid w:val="00D33BE3"/>
    <w:rsid w:val="00D3792D"/>
    <w:rsid w:val="00D55E47"/>
    <w:rsid w:val="00D62E19"/>
    <w:rsid w:val="00D6585E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65057"/>
    <w:rsid w:val="00E75B74"/>
    <w:rsid w:val="00E77645"/>
    <w:rsid w:val="00E83697"/>
    <w:rsid w:val="00E94A27"/>
    <w:rsid w:val="00EA02E9"/>
    <w:rsid w:val="00EA66C9"/>
    <w:rsid w:val="00EC4A25"/>
    <w:rsid w:val="00EC667A"/>
    <w:rsid w:val="00ED67AE"/>
    <w:rsid w:val="00F025A2"/>
    <w:rsid w:val="00F036E9"/>
    <w:rsid w:val="00F07388"/>
    <w:rsid w:val="00F2026E"/>
    <w:rsid w:val="00F2097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77853"/>
    <w:rsid w:val="00F941DF"/>
    <w:rsid w:val="00FA1266"/>
    <w:rsid w:val="00FB21D6"/>
    <w:rsid w:val="00FB2D7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A24F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3BBC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94A2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022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228C"/>
  </w:style>
  <w:style w:type="character" w:customStyle="1" w:styleId="CommentTextChar">
    <w:name w:val="Comment Text Char"/>
    <w:basedOn w:val="DefaultParagraphFont"/>
    <w:link w:val="CommentText"/>
    <w:rsid w:val="0090228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2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28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5AIRPNAIUNRU-859666464-5766</_dlc_DocId>
    <_dlc_DocIdUrl xmlns="71c5aaf6-e6ce-465b-b873-5148d2a4c105">
      <Url>https://nokia.sharepoint.com/sites/c5g/e2earch/_layouts/15/DocIdRedir.aspx?ID=5AIRPNAIUNRU-859666464-5766</Url>
      <Description>5AIRPNAIUNRU-859666464-5766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A8F3D9-12CD-4FE4-B6FE-5087903A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816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Nokia</cp:lastModifiedBy>
  <cp:revision>23</cp:revision>
  <dcterms:created xsi:type="dcterms:W3CDTF">2019-09-19T12:49:00Z</dcterms:created>
  <dcterms:modified xsi:type="dcterms:W3CDTF">2019-11-07T16:11:00Z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1de7741e-de36-48aa-9e77-c30699d4f601</vt:lpwstr>
  </property>
</Properties>
</file>